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25B3" w14:textId="0A9EEAD5" w:rsidR="47371CDC" w:rsidRPr="00334F9B" w:rsidRDefault="3C8DE079" w:rsidP="00334F9B">
      <w:pPr>
        <w:jc w:val="center"/>
        <w:rPr>
          <w:b/>
          <w:bCs/>
          <w:sz w:val="32"/>
          <w:szCs w:val="32"/>
        </w:rPr>
      </w:pPr>
      <w:r w:rsidRPr="3C8DE079">
        <w:rPr>
          <w:b/>
          <w:bCs/>
          <w:sz w:val="32"/>
          <w:szCs w:val="32"/>
        </w:rPr>
        <w:t>FICHA INFORMATIVA SOBRE DIREITO SUCESSÓRIO</w:t>
      </w:r>
      <w:bookmarkStart w:id="0" w:name="_GoBack"/>
      <w:bookmarkEnd w:id="0"/>
      <w:r w:rsidRPr="3C8DE079">
        <w:rPr>
          <w:b/>
          <w:bCs/>
          <w:sz w:val="32"/>
          <w:szCs w:val="32"/>
        </w:rPr>
        <w:t xml:space="preserve"> NACIONAL</w:t>
      </w:r>
    </w:p>
    <w:p w14:paraId="650538A8" w14:textId="45845EFF" w:rsidR="47371CDC" w:rsidRPr="00334F9B" w:rsidRDefault="00334F9B" w:rsidP="00334F9B">
      <w:pPr>
        <w:jc w:val="center"/>
        <w:rPr>
          <w:b/>
          <w:bCs/>
          <w:sz w:val="32"/>
          <w:szCs w:val="24"/>
        </w:rPr>
      </w:pPr>
      <w:r w:rsidRPr="00334F9B">
        <w:rPr>
          <w:b/>
          <w:bCs/>
          <w:sz w:val="32"/>
          <w:szCs w:val="24"/>
        </w:rPr>
        <w:t>São Tomé e Príncipe</w:t>
      </w:r>
    </w:p>
    <w:p w14:paraId="7967B6E5" w14:textId="008D2C55" w:rsidR="47371CDC" w:rsidRDefault="47371CDC" w:rsidP="47371CDC">
      <w:pPr>
        <w:rPr>
          <w:b/>
          <w:bCs/>
          <w:sz w:val="24"/>
          <w:szCs w:val="24"/>
        </w:rPr>
      </w:pPr>
    </w:p>
    <w:p w14:paraId="60163E02" w14:textId="309C9797" w:rsidR="47371CDC" w:rsidRDefault="3C8DE079" w:rsidP="47371CD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Quando é que os Tribunais ou outras autoridades nacionais são competentes para lidar com uma sucessão?</w:t>
      </w:r>
    </w:p>
    <w:p w14:paraId="3035D3B7" w14:textId="3E21D97D" w:rsidR="47371CDC" w:rsidRDefault="3C8DE079" w:rsidP="47371C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R: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O direito das sucessões é um ramo do Direito Civil, que se encontra previsto no livro V(quinto) do Código Civil vigente. Como direito particular que é, a competência do Tribunal depende do impulso processual das partes legitimas. Como nos indica o n.º 1 do artigo 3.º, bem como o n.º 1 do artigo 264.º, ambos do Código de Processo Civil.</w:t>
      </w:r>
    </w:p>
    <w:p w14:paraId="3CC040A1" w14:textId="21819154" w:rsidR="47371CDC" w:rsidRDefault="47371CDC" w:rsidP="47371CDC">
      <w:pPr>
        <w:rPr>
          <w:b/>
          <w:bCs/>
          <w:sz w:val="24"/>
          <w:szCs w:val="24"/>
        </w:rPr>
      </w:pPr>
    </w:p>
    <w:p w14:paraId="4CD55500" w14:textId="4F52699C" w:rsidR="47371CDC" w:rsidRDefault="3C8DE079" w:rsidP="47371CDC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Nos termos do direito nacional qual é a Lei aplicável à sucessão?</w:t>
      </w:r>
    </w:p>
    <w:p w14:paraId="55687F2D" w14:textId="3C09713C" w:rsidR="47371CDC" w:rsidRDefault="3C8DE079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A Lei aplicável a sucessão no direito nacional é livro quinto(V) do Código Civil, mais especificamente, de artigo 2024.º à 2334.º.</w:t>
      </w:r>
    </w:p>
    <w:p w14:paraId="37ABDF57" w14:textId="07D4E534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5EC1A" w14:textId="459AF5B2" w:rsidR="47371CDC" w:rsidRDefault="3C8DE079" w:rsidP="47371CDC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A Lei aplicável prevê o princípio da unidade da sucessão?</w:t>
      </w:r>
    </w:p>
    <w:p w14:paraId="498C26B8" w14:textId="714A455D" w:rsidR="47371CDC" w:rsidRDefault="3C8DE079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Sim</w:t>
      </w: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538C85" w14:textId="32C41D20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44BEA" w14:textId="667CC64C" w:rsidR="47371CDC" w:rsidRDefault="3C8DE079" w:rsidP="47371CDC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Quais são as modalidades de elaboração de uma disposição por morte (testamento, testamento de mão comum, convenção antenupcial, acordo sobre a sucessão)?</w:t>
      </w:r>
    </w:p>
    <w:p w14:paraId="418D511F" w14:textId="36BB313E" w:rsidR="47371CDC" w:rsidRDefault="3C8DE079" w:rsidP="47371CD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modalidades são: testamento público e testamento cerrado, nos termos do artigo 2204.º e 2205.º, ambos do Código Civil.</w:t>
      </w:r>
    </w:p>
    <w:p w14:paraId="3C09D60F" w14:textId="36CFF6AB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EA45" w14:textId="10CC8854" w:rsidR="47371CDC" w:rsidRDefault="3C8DE079" w:rsidP="47371CD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Existem restrições à liberdade de disposição por morte (por exemplo, a legítima)?</w:t>
      </w:r>
    </w:p>
    <w:p w14:paraId="765F4AC3" w14:textId="4F31B6FE" w:rsidR="47371CDC" w:rsidRDefault="3C8DE079" w:rsidP="47371C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>, conforme artigo 2156.º do Código Civil, o testador não pode dispor da legítima, por ser legalmente destinado aos herdeiros legitimários nos termos do artigo 2157.º</w:t>
      </w:r>
    </w:p>
    <w:p w14:paraId="09DEB99B" w14:textId="441ED169" w:rsidR="47371CDC" w:rsidRDefault="47371CDC" w:rsidP="47371C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661B8" w14:textId="0CCADF8C" w:rsidR="47371CDC" w:rsidRDefault="3C8DE079" w:rsidP="47371CDC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Na ausência de uma disposição por morte, quem herda e em que proporção?</w:t>
      </w:r>
    </w:p>
    <w:p w14:paraId="2DDA170E" w14:textId="46BB1330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termos do artigo 2133.º do Código Civil herdam:</w:t>
      </w:r>
    </w:p>
    <w:p w14:paraId="6A6C5594" w14:textId="31F8F02A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    a) Descendentes;</w:t>
      </w:r>
    </w:p>
    <w:p w14:paraId="25DFD492" w14:textId="455D008B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    b) Ascendentes;</w:t>
      </w:r>
    </w:p>
    <w:p w14:paraId="7797EBDA" w14:textId="05824696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c) Irmãos e seus descendentes;</w:t>
      </w:r>
    </w:p>
    <w:p w14:paraId="505A8484" w14:textId="78AAB263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    d) Cônjuge;</w:t>
      </w:r>
    </w:p>
    <w:p w14:paraId="5B56F750" w14:textId="219F870F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3C8DE079">
        <w:rPr>
          <w:rFonts w:ascii="Times New Roman" w:eastAsia="Times New Roman" w:hAnsi="Times New Roman" w:cs="Times New Roman"/>
          <w:sz w:val="24"/>
          <w:szCs w:val="24"/>
        </w:rPr>
        <w:t>e) Outros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colaterais até ao sexto grau;</w:t>
      </w:r>
    </w:p>
    <w:p w14:paraId="74DA5D64" w14:textId="089DF7A1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    f) Estado.</w:t>
      </w:r>
    </w:p>
    <w:p w14:paraId="7578BF4B" w14:textId="25AA46C3" w:rsidR="47371CDC" w:rsidRDefault="3C8DE079" w:rsidP="3C8DE0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E quanto a proporção, nos termos do artigo 2139.º do Código Civil, conjugado com o n.º 4 do artigo 26.º da Constituição da República Democrática de </w:t>
      </w:r>
      <w:proofErr w:type="spellStart"/>
      <w:proofErr w:type="gramStart"/>
      <w:r w:rsidRPr="3C8DE079">
        <w:rPr>
          <w:rFonts w:ascii="Times New Roman" w:eastAsia="Times New Roman" w:hAnsi="Times New Roman" w:cs="Times New Roman"/>
          <w:sz w:val="24"/>
          <w:szCs w:val="24"/>
        </w:rPr>
        <w:t>S.Tomé</w:t>
      </w:r>
      <w:proofErr w:type="spellEnd"/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e Príncipe, divide-se a herança em tantas partes quantos forem os herdeiros.</w:t>
      </w:r>
    </w:p>
    <w:p w14:paraId="4E3C3FB6" w14:textId="364707ED" w:rsidR="47371CDC" w:rsidRDefault="47371CDC" w:rsidP="47371CD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CB7E4" w14:textId="576838B5" w:rsidR="47371CDC" w:rsidRDefault="3C8DE079" w:rsidP="47371CD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Como e quando é que alguém se torna herdeiro ou legatário?</w:t>
      </w:r>
    </w:p>
    <w:p w14:paraId="4E6A4C4F" w14:textId="046C8DCA" w:rsidR="47371CDC" w:rsidRDefault="3C8DE079" w:rsidP="3C8DE079">
      <w:pPr>
        <w:jc w:val="both"/>
        <w:rPr>
          <w:rFonts w:ascii="Arial" w:eastAsia="Arial" w:hAnsi="Arial" w:cs="Arial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Torna-se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herdeiro ou legatário com a morte do autor da herança, como nos indica o artigo 2031.º do Código Civil. </w:t>
      </w:r>
    </w:p>
    <w:p w14:paraId="6B2D3752" w14:textId="74CBAE8B" w:rsidR="47371CDC" w:rsidRDefault="3C8DE079" w:rsidP="47371CDC">
      <w:pPr>
        <w:jc w:val="both"/>
        <w:rPr>
          <w:rFonts w:ascii="Arial" w:eastAsia="Arial" w:hAnsi="Arial" w:cs="Arial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Na aberta a sucessão, chamar-se-á todos aqueles que gozam de prioridade na hierarquia dos sucessíveis, sempre quando tenham capacidade necessária para à titularidade das relações jurídicas do falecido, nos termos do artigo 2032.º do Código Civil.</w:t>
      </w:r>
    </w:p>
    <w:p w14:paraId="74EECE95" w14:textId="45BD4727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8E759" w14:textId="00253BBB" w:rsidR="47371CDC" w:rsidRDefault="3C8DE079" w:rsidP="47371CD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Como e quando é que tem lugar a aceitação ou o repúdio da herança?</w:t>
      </w:r>
    </w:p>
    <w:p w14:paraId="2F9A59E9" w14:textId="097575AD" w:rsidR="3C8DE079" w:rsidRDefault="3C8DE079" w:rsidP="3C8DE0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A aceitação de herança tem lugar com a abertura da sucessão nos termos do artigo 2032.º, e pode ser feita de forma expressa ou tácita sendo que a expressa é quando nalgum documento escrito o sucessível chamado à herança declara aceitá-la ou assume o título de herdeiro com a intenção de a adquirir nos termos do artigo 2056.º e 2057.º do Código Civil.</w:t>
      </w:r>
    </w:p>
    <w:p w14:paraId="1DE848FA" w14:textId="215BE54B" w:rsidR="3C8DE079" w:rsidRDefault="3C8DE079" w:rsidP="3C8DE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O repúdio tem lugar com a aberta da sucessão nos termos do artigo 2032.ºe é feita </w:t>
      </w:r>
      <w:proofErr w:type="gramStart"/>
      <w:r w:rsidRPr="3C8DE079">
        <w:rPr>
          <w:rFonts w:ascii="Times New Roman" w:eastAsia="Times New Roman" w:hAnsi="Times New Roman" w:cs="Times New Roman"/>
          <w:sz w:val="24"/>
          <w:szCs w:val="24"/>
        </w:rPr>
        <w:t>por alienação</w:t>
      </w:r>
      <w:r w:rsidRPr="3C8DE079">
        <w:rPr>
          <w:rFonts w:ascii="Times New Roman" w:eastAsia="Times New Roman" w:hAnsi="Times New Roman" w:cs="Times New Roman"/>
          <w:b/>
          <w:bCs/>
          <w:color w:val="022263"/>
          <w:sz w:val="24"/>
          <w:szCs w:val="24"/>
        </w:rPr>
        <w:t xml:space="preserve">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ou seja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através da Escritura Pública, como prevê o artigo 2063.º conjugado com o artigo 2126.º.</w:t>
      </w:r>
    </w:p>
    <w:p w14:paraId="50AFC6D8" w14:textId="37F03784" w:rsidR="3C8DE079" w:rsidRDefault="3C8DE079" w:rsidP="3C8DE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B850D" w14:textId="362FF64B" w:rsidR="47371CDC" w:rsidRDefault="3C8DE079" w:rsidP="3C8DE079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caso 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gramEnd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Lei nacional prever a nomeação de um cabeça de casal ou de um administrador da herança, sobre quem pode recair essa nomeação e que poderes tem o cabeça de casal ou o administrador da herança?</w:t>
      </w:r>
    </w:p>
    <w:p w14:paraId="312B9426" w14:textId="016D0512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F8D93" w14:textId="0F8F3A0C" w:rsidR="3C8DE079" w:rsidRDefault="3C8DE079" w:rsidP="3C8DE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Recai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sobre o cônjuge sobrevivo, se for herdeiro ou tiver meação em bens do casal; ao testamenteiro, salvo declaração do testador em contrário; aos herdeiros legais; aos herdeiros testamentários, como prevê o artigo 2080.º do Código Civil.</w:t>
      </w:r>
    </w:p>
    <w:p w14:paraId="3490AAF9" w14:textId="36427550" w:rsidR="3C8DE079" w:rsidRDefault="3C8DE079" w:rsidP="3C8DE079">
      <w:pPr>
        <w:jc w:val="both"/>
        <w:rPr>
          <w:rFonts w:ascii="Times New Roman" w:eastAsia="Times New Roman" w:hAnsi="Times New Roman" w:cs="Times New Roman"/>
          <w:color w:val="022263"/>
          <w:sz w:val="24"/>
          <w:szCs w:val="24"/>
        </w:rPr>
      </w:pPr>
    </w:p>
    <w:p w14:paraId="181F75CF" w14:textId="79982C07" w:rsidR="47371CDC" w:rsidRDefault="3C8DE079" w:rsidP="3C8DE079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>Os poderes do cabeça do casal encontram-se previstos nos artigos 2087.º, 2088.º, 2089.º, 2090.º e são os seguintes:</w:t>
      </w:r>
    </w:p>
    <w:p w14:paraId="1ADB3345" w14:textId="4AA9B7E5" w:rsidR="3C8DE079" w:rsidRDefault="3C8DE079" w:rsidP="3C8DE079">
      <w:pPr>
        <w:pStyle w:val="PargrafodaLista"/>
        <w:numPr>
          <w:ilvl w:val="0"/>
          <w:numId w:val="1"/>
        </w:numPr>
        <w:spacing w:before="240" w:after="0" w:line="360" w:lineRule="auto"/>
        <w:rPr>
          <w:rFonts w:eastAsiaTheme="minorEastAsia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 todos os bens hereditários, e ainda os bens comuns do falecido, se o cônjuge meeiro se escusou ou foi removido do cargo.</w:t>
      </w:r>
    </w:p>
    <w:p w14:paraId="6958616D" w14:textId="6F3B071F" w:rsidR="3C8DE079" w:rsidRDefault="3C8DE079" w:rsidP="3C8DE079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Pode pedir aos herdeiros ou a terceiro a entrega dos bens que deva administrar e que estes tenham em seu poder, e usar contra eles de </w:t>
      </w:r>
      <w:proofErr w:type="spellStart"/>
      <w:r w:rsidRPr="3C8DE079">
        <w:rPr>
          <w:rFonts w:ascii="Times New Roman" w:eastAsia="Times New Roman" w:hAnsi="Times New Roman" w:cs="Times New Roman"/>
          <w:sz w:val="24"/>
          <w:szCs w:val="24"/>
        </w:rPr>
        <w:t>acções</w:t>
      </w:r>
      <w:proofErr w:type="spell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possessórias a fim de ser mantido na posse das coisas sujeitas à sua gestão ou a ela restituído.</w:t>
      </w:r>
    </w:p>
    <w:p w14:paraId="465C3E87" w14:textId="5BCE1D45" w:rsidR="3C8DE079" w:rsidRDefault="3C8DE079" w:rsidP="3C8DE079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Pode cobrar as dívidas </w:t>
      </w:r>
      <w:proofErr w:type="spellStart"/>
      <w:r w:rsidRPr="3C8DE079">
        <w:rPr>
          <w:rFonts w:ascii="Times New Roman" w:eastAsia="Times New Roman" w:hAnsi="Times New Roman" w:cs="Times New Roman"/>
          <w:sz w:val="24"/>
          <w:szCs w:val="24"/>
        </w:rPr>
        <w:t>activas</w:t>
      </w:r>
      <w:proofErr w:type="spell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da herança, quando a cobrança possa perigar com a demora ou o pagamento seja feito </w:t>
      </w:r>
      <w:proofErr w:type="spellStart"/>
      <w:r w:rsidRPr="3C8DE079">
        <w:rPr>
          <w:rFonts w:ascii="Times New Roman" w:eastAsia="Times New Roman" w:hAnsi="Times New Roman" w:cs="Times New Roman"/>
          <w:sz w:val="24"/>
          <w:szCs w:val="24"/>
        </w:rPr>
        <w:t>espontâneamente</w:t>
      </w:r>
      <w:proofErr w:type="spellEnd"/>
      <w:r w:rsidRPr="3C8DE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8AC7D" w14:textId="585F91A1" w:rsidR="3C8DE079" w:rsidRDefault="3C8DE079" w:rsidP="3C8DE079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>Vender os frutos ou outros bens deterioráveis, podendo aplicar o produto na satisfação das despesas do funeral e sufrágios, bem como no cumprimento dos encargos da administração.</w:t>
      </w:r>
    </w:p>
    <w:p w14:paraId="07158CD4" w14:textId="74D7E5D2" w:rsidR="3C8DE079" w:rsidRDefault="3C8DE079" w:rsidP="3C8DE079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eastAsiaTheme="minorEastAsia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sz w:val="24"/>
          <w:szCs w:val="24"/>
        </w:rPr>
        <w:t>Vender os frutos não deterioráveis, na medida do que for necessário.</w:t>
      </w:r>
    </w:p>
    <w:p w14:paraId="7230E401" w14:textId="184E6915" w:rsidR="3C8DE079" w:rsidRDefault="3C8DE079" w:rsidP="3C8DE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EC79A" w14:textId="2C22709D" w:rsidR="47371CDC" w:rsidRDefault="3C8DE079" w:rsidP="47371CD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Que tipo de entidade é competente para lidar com a sucessão e a partilha em caso de acordo de todos os sucessíveis (Conservadores, Notários, Tribunais)?</w:t>
      </w:r>
    </w:p>
    <w:p w14:paraId="434BDCB0" w14:textId="5CA099AA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casos de acordo, a partilha é feita extrajudicialmente, mais concretamente, na Conservatória do Registo Civil, nos termos do n.º 1 do artigo 2102.º do Código Civil.</w:t>
      </w:r>
    </w:p>
    <w:p w14:paraId="4F9D7932" w14:textId="6D2AAB3E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88D5C" w14:textId="53918F05" w:rsidR="47371CDC" w:rsidRDefault="3C8DE079" w:rsidP="47371CD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No caso dos sucessíveis não estarem de acordo quanto à partilha, qual é o processo aplicável, quem o pode intentar e perante que entidade?</w:t>
      </w:r>
    </w:p>
    <w:p w14:paraId="58A0A8A9" w14:textId="145CFFF8" w:rsidR="3C8DE079" w:rsidRDefault="3C8DE079" w:rsidP="3C8DE0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o n.º 2 do artigo 2102.º, primeira parte, n</w:t>
      </w:r>
      <w:r w:rsidRPr="3C8DE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falta de acordo dos sucessíveis, a partilha é feita por inventário judicial nos termos prescritos na lei de processo.</w:t>
      </w:r>
    </w:p>
    <w:p w14:paraId="53CAD097" w14:textId="33FAD074" w:rsidR="3C8DE079" w:rsidRDefault="3C8DE079" w:rsidP="3C8DE0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processo pode ser intentado pelos interessados e inicia no Cartório com o processo abreviado de habilitação de herdeiro que posteriormente é remetido ao Tribunal para a homologação e continuação com processo de inventário obrigatório. </w:t>
      </w:r>
    </w:p>
    <w:p w14:paraId="13CA2B00" w14:textId="6A7B1826" w:rsidR="3C8DE079" w:rsidRDefault="3C8DE079" w:rsidP="3C8DE0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0B972E" w14:textId="64C57BDF" w:rsidR="47371CDC" w:rsidRDefault="3C8DE079" w:rsidP="47371CDC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algum dos sucessíveis for menor ou incapaz, quem o representa para efeito de aceitação, partilha ou repúdio da herança ou legado? </w:t>
      </w:r>
    </w:p>
    <w:p w14:paraId="2F735963" w14:textId="32ACA9CC" w:rsidR="47371CDC" w:rsidRDefault="3C8DE079" w:rsidP="3C8DE079">
      <w:pPr>
        <w:rPr>
          <w:rFonts w:ascii="Times New Roman" w:eastAsia="Times New Roman" w:hAnsi="Times New Roman" w:cs="Times New Roman"/>
          <w:color w:val="022263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14:paraId="2166960E" w14:textId="7BFEB13A" w:rsidR="47371CDC" w:rsidRDefault="3C8DE079" w:rsidP="3C8DE079">
      <w:pPr>
        <w:rPr>
          <w:rFonts w:ascii="Times New Roman" w:eastAsia="Times New Roman" w:hAnsi="Times New Roman" w:cs="Times New Roman"/>
          <w:color w:val="022263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termos do n.º 2, do artigo 2102.º, segunda parte, o menor ou incapaz é representado pelo Ministério Publico, no processo de </w:t>
      </w:r>
      <w:r w:rsidRPr="3C8DE079">
        <w:rPr>
          <w:rFonts w:ascii="Times New Roman" w:eastAsia="Times New Roman" w:hAnsi="Times New Roman" w:cs="Times New Roman"/>
          <w:color w:val="022263"/>
          <w:sz w:val="24"/>
          <w:szCs w:val="24"/>
        </w:rPr>
        <w:t>i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nventário judicial obrigatório.</w:t>
      </w:r>
    </w:p>
    <w:p w14:paraId="49C81EA1" w14:textId="2C9EF376" w:rsidR="47371CDC" w:rsidRDefault="47371CDC" w:rsidP="3C8DE079">
      <w:pPr>
        <w:rPr>
          <w:rFonts w:ascii="Times New Roman" w:eastAsia="Times New Roman" w:hAnsi="Times New Roman" w:cs="Times New Roman"/>
          <w:color w:val="022263"/>
          <w:sz w:val="24"/>
          <w:szCs w:val="24"/>
        </w:rPr>
      </w:pPr>
    </w:p>
    <w:p w14:paraId="01EE473F" w14:textId="727D7520" w:rsidR="47371CDC" w:rsidRDefault="3C8DE079" w:rsidP="3C8DE079">
      <w:pPr>
        <w:pStyle w:val="PargrafodaLista"/>
        <w:numPr>
          <w:ilvl w:val="0"/>
          <w:numId w:val="2"/>
        </w:numPr>
        <w:rPr>
          <w:b/>
          <w:bCs/>
          <w:color w:val="022263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Se algum dos sucessíveis for menor ou incapaz a partilha de bem tem de seguir alguma forma de processo obrigatória?</w:t>
      </w:r>
    </w:p>
    <w:p w14:paraId="67573523" w14:textId="4F7AB944" w:rsidR="47371CDC" w:rsidRDefault="3C8DE079" w:rsidP="47371CDC">
      <w:pPr>
        <w:rPr>
          <w:rFonts w:ascii="Times New Roman" w:eastAsia="Times New Roman" w:hAnsi="Times New Roman" w:cs="Times New Roman"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Sim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>, far-se-á o processo de inventário judicial obrigatório, como sustenta o n.º 2 do artigo 2102 do Código Civil.</w:t>
      </w:r>
    </w:p>
    <w:p w14:paraId="092E91D7" w14:textId="0D42A6B3" w:rsidR="47371CDC" w:rsidRDefault="3C8DE079" w:rsidP="3C8DE079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 documentos são normalmente emitidos durante ou no termo do procedimento sucessório, para provar estatuto e os direitos dos herdeiros ou legatários (habilitação de herdeiros, escritura pública de partilha, decisão judicial)? </w:t>
      </w:r>
    </w:p>
    <w:p w14:paraId="2984E8C9" w14:textId="110E0A75" w:rsidR="3C8DE079" w:rsidRDefault="3C8DE079" w:rsidP="3C8DE079">
      <w:pPr>
        <w:jc w:val="both"/>
        <w:rPr>
          <w:b/>
          <w:bCs/>
          <w:sz w:val="24"/>
          <w:szCs w:val="24"/>
        </w:rPr>
      </w:pP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Start"/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gramEnd"/>
      <w:r w:rsidRPr="3C8DE079">
        <w:rPr>
          <w:rFonts w:ascii="Times New Roman" w:eastAsia="Times New Roman" w:hAnsi="Times New Roman" w:cs="Times New Roman"/>
          <w:sz w:val="24"/>
          <w:szCs w:val="24"/>
        </w:rPr>
        <w:t xml:space="preserve"> o processo são emitidos dois documentos que são</w:t>
      </w:r>
      <w:r w:rsidRPr="3C8DE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C8DE079">
        <w:rPr>
          <w:rFonts w:ascii="Times New Roman" w:eastAsia="Times New Roman" w:hAnsi="Times New Roman" w:cs="Times New Roman"/>
          <w:sz w:val="24"/>
          <w:szCs w:val="24"/>
        </w:rPr>
        <w:t>a Decisão Judicial e escritura pública de partilha.</w:t>
      </w:r>
    </w:p>
    <w:p w14:paraId="45C0FD44" w14:textId="4888EF6F" w:rsidR="47371CDC" w:rsidRDefault="47371CDC" w:rsidP="47371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47371CDC" w:rsidSect="0009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259B"/>
    <w:multiLevelType w:val="hybridMultilevel"/>
    <w:tmpl w:val="8848ADB8"/>
    <w:lvl w:ilvl="0" w:tplc="F4C6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7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EC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7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E8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0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2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CF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AD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C3B21"/>
    <w:multiLevelType w:val="hybridMultilevel"/>
    <w:tmpl w:val="C1882CF2"/>
    <w:lvl w:ilvl="0" w:tplc="9F0E4B68">
      <w:start w:val="1"/>
      <w:numFmt w:val="decimal"/>
      <w:lvlText w:val="%1."/>
      <w:lvlJc w:val="left"/>
      <w:pPr>
        <w:ind w:left="720" w:hanging="360"/>
      </w:pPr>
    </w:lvl>
    <w:lvl w:ilvl="1" w:tplc="21B0C5AC">
      <w:start w:val="1"/>
      <w:numFmt w:val="lowerLetter"/>
      <w:lvlText w:val="%2."/>
      <w:lvlJc w:val="left"/>
      <w:pPr>
        <w:ind w:left="1440" w:hanging="360"/>
      </w:pPr>
    </w:lvl>
    <w:lvl w:ilvl="2" w:tplc="0D966E06">
      <w:start w:val="1"/>
      <w:numFmt w:val="lowerRoman"/>
      <w:lvlText w:val="%3."/>
      <w:lvlJc w:val="right"/>
      <w:pPr>
        <w:ind w:left="2160" w:hanging="180"/>
      </w:pPr>
    </w:lvl>
    <w:lvl w:ilvl="3" w:tplc="59B26718">
      <w:start w:val="1"/>
      <w:numFmt w:val="decimal"/>
      <w:lvlText w:val="%4."/>
      <w:lvlJc w:val="left"/>
      <w:pPr>
        <w:ind w:left="2880" w:hanging="360"/>
      </w:pPr>
    </w:lvl>
    <w:lvl w:ilvl="4" w:tplc="8E34C7B2">
      <w:start w:val="1"/>
      <w:numFmt w:val="lowerLetter"/>
      <w:lvlText w:val="%5."/>
      <w:lvlJc w:val="left"/>
      <w:pPr>
        <w:ind w:left="3600" w:hanging="360"/>
      </w:pPr>
    </w:lvl>
    <w:lvl w:ilvl="5" w:tplc="ADA08668">
      <w:start w:val="1"/>
      <w:numFmt w:val="lowerRoman"/>
      <w:lvlText w:val="%6."/>
      <w:lvlJc w:val="right"/>
      <w:pPr>
        <w:ind w:left="4320" w:hanging="180"/>
      </w:pPr>
    </w:lvl>
    <w:lvl w:ilvl="6" w:tplc="A2BA6832">
      <w:start w:val="1"/>
      <w:numFmt w:val="decimal"/>
      <w:lvlText w:val="%7."/>
      <w:lvlJc w:val="left"/>
      <w:pPr>
        <w:ind w:left="5040" w:hanging="360"/>
      </w:pPr>
    </w:lvl>
    <w:lvl w:ilvl="7" w:tplc="A464157A">
      <w:start w:val="1"/>
      <w:numFmt w:val="lowerLetter"/>
      <w:lvlText w:val="%8."/>
      <w:lvlJc w:val="left"/>
      <w:pPr>
        <w:ind w:left="5760" w:hanging="360"/>
      </w:pPr>
    </w:lvl>
    <w:lvl w:ilvl="8" w:tplc="6BF407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5"/>
    <w:rsid w:val="00095C20"/>
    <w:rsid w:val="00334F9B"/>
    <w:rsid w:val="005A422E"/>
    <w:rsid w:val="009753FE"/>
    <w:rsid w:val="00AC1135"/>
    <w:rsid w:val="00BA644C"/>
    <w:rsid w:val="3C8DE079"/>
    <w:rsid w:val="473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5B1"/>
  <w15:chartTrackingRefBased/>
  <w15:docId w15:val="{FFA114BD-D8F1-4F09-A422-2F38F9B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3C8DE079"/>
  </w:style>
  <w:style w:type="paragraph" w:styleId="Cabealho1">
    <w:name w:val="heading 1"/>
    <w:basedOn w:val="Normal"/>
    <w:next w:val="Normal"/>
    <w:link w:val="Cabealho1Carter"/>
    <w:uiPriority w:val="9"/>
    <w:qFormat/>
    <w:rsid w:val="3C8DE07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3C8DE07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3C8DE07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3C8DE07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3C8DE07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3C8DE07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3C8DE07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3C8DE07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3C8DE07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3C8DE079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3C8DE07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3C8DE079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arter"/>
    <w:uiPriority w:val="29"/>
    <w:qFormat/>
    <w:rsid w:val="3C8DE0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3C8DE07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3C8DE07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3C8DE07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3C8DE079"/>
    <w:rPr>
      <w:rFonts w:asciiTheme="majorHAnsi" w:eastAsiaTheme="majorEastAsia" w:hAnsiTheme="majorHAnsi" w:cstheme="majorBidi"/>
      <w:noProof w:val="0"/>
      <w:color w:val="1F3763"/>
      <w:sz w:val="24"/>
      <w:szCs w:val="24"/>
      <w:lang w:val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3C8DE07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3C8DE079"/>
    <w:rPr>
      <w:rFonts w:asciiTheme="majorHAnsi" w:eastAsiaTheme="majorEastAsia" w:hAnsiTheme="majorHAnsi" w:cstheme="majorBidi"/>
      <w:noProof w:val="0"/>
      <w:color w:val="2F5496" w:themeColor="accent1" w:themeShade="BF"/>
      <w:lang w:val="pt-PT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3C8DE079"/>
    <w:rPr>
      <w:rFonts w:asciiTheme="majorHAnsi" w:eastAsiaTheme="majorEastAsia" w:hAnsiTheme="majorHAnsi" w:cstheme="majorBidi"/>
      <w:noProof w:val="0"/>
      <w:color w:val="1F3763"/>
      <w:lang w:val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3C8DE079"/>
    <w:rPr>
      <w:rFonts w:asciiTheme="majorHAnsi" w:eastAsiaTheme="majorEastAsia" w:hAnsiTheme="majorHAnsi" w:cstheme="majorBidi"/>
      <w:i/>
      <w:iCs/>
      <w:noProof w:val="0"/>
      <w:color w:val="1F3763"/>
      <w:lang w:val="pt-PT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3C8DE079"/>
    <w:rPr>
      <w:rFonts w:asciiTheme="majorHAnsi" w:eastAsiaTheme="majorEastAsia" w:hAnsiTheme="majorHAnsi" w:cstheme="majorBidi"/>
      <w:noProof w:val="0"/>
      <w:color w:val="272727"/>
      <w:sz w:val="21"/>
      <w:szCs w:val="21"/>
      <w:lang w:val="pt-PT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3C8DE07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3C8DE079"/>
    <w:rPr>
      <w:rFonts w:asciiTheme="majorHAnsi" w:eastAsiaTheme="majorEastAsia" w:hAnsiTheme="majorHAnsi" w:cstheme="majorBidi"/>
      <w:noProof w:val="0"/>
      <w:sz w:val="56"/>
      <w:szCs w:val="56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3C8DE079"/>
    <w:rPr>
      <w:rFonts w:asciiTheme="minorHAnsi" w:eastAsiaTheme="minorEastAsia" w:hAnsiTheme="minorHAnsi" w:cstheme="minorBidi"/>
      <w:noProof w:val="0"/>
      <w:color w:val="5A5A5A"/>
      <w:lang w:val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3C8DE079"/>
    <w:rPr>
      <w:i/>
      <w:iCs/>
      <w:noProof w:val="0"/>
      <w:color w:val="404040" w:themeColor="text1" w:themeTint="BF"/>
      <w:lang w:val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3C8DE079"/>
    <w:rPr>
      <w:i/>
      <w:iCs/>
      <w:noProof w:val="0"/>
      <w:color w:val="4472C4" w:themeColor="accent1"/>
      <w:lang w:val="pt-PT"/>
    </w:rPr>
  </w:style>
  <w:style w:type="paragraph" w:styleId="ndice1">
    <w:name w:val="toc 1"/>
    <w:basedOn w:val="Normal"/>
    <w:next w:val="Normal"/>
    <w:uiPriority w:val="39"/>
    <w:unhideWhenUsed/>
    <w:rsid w:val="3C8DE079"/>
    <w:pPr>
      <w:spacing w:after="100"/>
    </w:pPr>
  </w:style>
  <w:style w:type="paragraph" w:styleId="ndice2">
    <w:name w:val="toc 2"/>
    <w:basedOn w:val="Normal"/>
    <w:next w:val="Normal"/>
    <w:uiPriority w:val="39"/>
    <w:unhideWhenUsed/>
    <w:rsid w:val="3C8DE079"/>
    <w:pPr>
      <w:spacing w:after="100"/>
      <w:ind w:left="220"/>
    </w:pPr>
  </w:style>
  <w:style w:type="paragraph" w:styleId="ndice3">
    <w:name w:val="toc 3"/>
    <w:basedOn w:val="Normal"/>
    <w:next w:val="Normal"/>
    <w:uiPriority w:val="39"/>
    <w:unhideWhenUsed/>
    <w:rsid w:val="3C8DE079"/>
    <w:pPr>
      <w:spacing w:after="100"/>
      <w:ind w:left="440"/>
    </w:pPr>
  </w:style>
  <w:style w:type="paragraph" w:styleId="ndice4">
    <w:name w:val="toc 4"/>
    <w:basedOn w:val="Normal"/>
    <w:next w:val="Normal"/>
    <w:uiPriority w:val="39"/>
    <w:unhideWhenUsed/>
    <w:rsid w:val="3C8DE079"/>
    <w:pPr>
      <w:spacing w:after="100"/>
      <w:ind w:left="660"/>
    </w:pPr>
  </w:style>
  <w:style w:type="paragraph" w:styleId="ndice5">
    <w:name w:val="toc 5"/>
    <w:basedOn w:val="Normal"/>
    <w:next w:val="Normal"/>
    <w:uiPriority w:val="39"/>
    <w:unhideWhenUsed/>
    <w:rsid w:val="3C8DE079"/>
    <w:pPr>
      <w:spacing w:after="100"/>
      <w:ind w:left="880"/>
    </w:pPr>
  </w:style>
  <w:style w:type="paragraph" w:styleId="ndice6">
    <w:name w:val="toc 6"/>
    <w:basedOn w:val="Normal"/>
    <w:next w:val="Normal"/>
    <w:uiPriority w:val="39"/>
    <w:unhideWhenUsed/>
    <w:rsid w:val="3C8DE079"/>
    <w:pPr>
      <w:spacing w:after="100"/>
      <w:ind w:left="1100"/>
    </w:pPr>
  </w:style>
  <w:style w:type="paragraph" w:styleId="ndice7">
    <w:name w:val="toc 7"/>
    <w:basedOn w:val="Normal"/>
    <w:next w:val="Normal"/>
    <w:uiPriority w:val="39"/>
    <w:unhideWhenUsed/>
    <w:rsid w:val="3C8DE079"/>
    <w:pPr>
      <w:spacing w:after="100"/>
      <w:ind w:left="1320"/>
    </w:pPr>
  </w:style>
  <w:style w:type="paragraph" w:styleId="ndice8">
    <w:name w:val="toc 8"/>
    <w:basedOn w:val="Normal"/>
    <w:next w:val="Normal"/>
    <w:uiPriority w:val="39"/>
    <w:unhideWhenUsed/>
    <w:rsid w:val="3C8DE079"/>
    <w:pPr>
      <w:spacing w:after="100"/>
      <w:ind w:left="1540"/>
    </w:pPr>
  </w:style>
  <w:style w:type="paragraph" w:styleId="ndice9">
    <w:name w:val="toc 9"/>
    <w:basedOn w:val="Normal"/>
    <w:next w:val="Normal"/>
    <w:uiPriority w:val="39"/>
    <w:unhideWhenUsed/>
    <w:rsid w:val="3C8DE079"/>
    <w:pPr>
      <w:spacing w:after="100"/>
      <w:ind w:left="176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3C8DE079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3C8DE079"/>
    <w:rPr>
      <w:noProof w:val="0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unhideWhenUsed/>
    <w:rsid w:val="3C8DE079"/>
    <w:pPr>
      <w:tabs>
        <w:tab w:val="center" w:pos="4680"/>
        <w:tab w:val="right" w:pos="936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3C8DE079"/>
    <w:rPr>
      <w:noProof w:val="0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3C8DE079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3C8DE079"/>
    <w:rPr>
      <w:noProof w:val="0"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3C8DE079"/>
    <w:pPr>
      <w:tabs>
        <w:tab w:val="center" w:pos="4680"/>
        <w:tab w:val="right" w:pos="936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3C8DE079"/>
    <w:rPr>
      <w:noProof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Odile Menezes D'Alva Pires dos Santos</dc:creator>
  <cp:keywords/>
  <dc:description/>
  <cp:lastModifiedBy>Carlos Rosado</cp:lastModifiedBy>
  <cp:revision>5</cp:revision>
  <dcterms:created xsi:type="dcterms:W3CDTF">2022-08-23T10:16:00Z</dcterms:created>
  <dcterms:modified xsi:type="dcterms:W3CDTF">2023-02-06T14:55:00Z</dcterms:modified>
</cp:coreProperties>
</file>